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eca3ded5934558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949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MUZEJI IVANA MEŠTROVIĆA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4.585.313,24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5.031.552,03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109,7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1.463.320,69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2.116.724,56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144,7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3.121.992,55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2.914.827,47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93,4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1.883.545,60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3.266.162,22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173,4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1.883.545,60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3.266.162,22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173,4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351.334,75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Prihodi poslovanja (šifra 6) u razdoblju od 01. siječnja do 31. prosinca 2025. godine ostvareni su u iznosu 5.031.552,03 EUR i veći su za 9,7 % u odnosu na prethodnu godinu. Muzeji Ivana Meštrovića, kao proračunski korisnik državnog proračuna, najveći dio prihoda ostvaruje iz državnog proračuna, izvor 11. Na skupini 67 prihodi  2025. g. iznose 3.601.786,72 EUR.</w:t>
      </w:r>
    </w:p>
    <w:p>
      <w:r>
        <w:t xml:space="preserve">Najznačajnije povećanje prihoda poslovanja ostvareno je na stavci prihoda namijenjenih za financiranje rashoda za završetak obnove od potresa Atelijera Meštrović u Zagrebu, koji je krajem godine otvorio vrata posjetiteljima i započeo s radom u cijelosti obnovljen s novim muzejskim postavom.</w:t>
      </w:r>
    </w:p>
    <w:p>
      <w:r>
        <w:t xml:space="preserve">Značajan udio u strukturi prihoda u 2025. godini čine prihodi iz Mehanizma za oporavak i otpornost – bespovratna sredstva, dijelom u svrhu cjelovite obnove Atelijera Meštrović, a dijelom u svrhu energetske obnove Galerije Meštrović u Splitu. Na skupini 639 prihodi iznose 1.248.201,65 EUR.</w:t>
      </w:r>
    </w:p>
    <w:p>
      <w:r>
        <w:t xml:space="preserve">Najznačajnije smanjenje prihoda u odnosu na prethodnu godinu bilježi se na prihodima od prodaje ulaznica (skupina 65) te od pruženih usluga, a razlog tome je cjelovita obnova Atelijera Meštrović zbog koje je muzej bio zatvoren, te energetska obnova zbog koje je zgrada Galerije Meštrović zatvorena, a posjetiteljima je bilo omogućeno razgledavanje vrta Galerije uz naplatu polovične cijene ulaznica.</w:t>
      </w:r>
    </w:p>
    <w:p>
      <w:r>
        <w:t xml:space="preserve">Ukupni rashodi poslovanja (šifra 3) u razdoblju od 01. siječnja do 31. prosinca 2025. godine ostvareni su u iznosu 2.116.724,56 EUR što je povećanje od 44,7% u odnosu na prethodnu godinu. Rashodi za zaposlene iznose 970.227,39 EUR i povećani su za 24,7%. Povećanje je nastalo zbog zakonskih promjena u obračunu plaća. Materijalni rashodi  iznose 1.143.169,28  EUR. Financijski rashodi iznose 3.237,89 EUR.</w:t>
      </w:r>
    </w:p>
    <w:p>
      <w:r>
        <w:t xml:space="preserve">U 2025. godini nema ostvarenih prihoda od prodaje nefinancijske imovine. Nabavljena je nefinancijska imovina u iznosu od 3.266.162,22 EUR, a uglavnom se odnosi na troškove po projektima obnove od potresa te energetske obnove.</w:t>
      </w:r>
    </w:p>
    <w:p>
      <w:r>
        <w:t xml:space="preserve">Tijekom ovog izvještajnog razdoblja nisu evidentirani primici od financijske imovine i zaduživanja, niti izdaci za financijsku imovinu i otplate zajmova. </w:t>
      </w:r>
    </w:p>
    <w:p>
      <w:r>
        <w:t xml:space="preserve">U razdoblju od 01. siječnja do 31. prosinca 2025. godine ostvaren je višak prihoda poslovanja iznosu od 2.914.827,47 EUR i manjak prihoda od nefinancijske imovine u iznosu od 3.266.162,22 EUR. Slijedom navedenog za navedeno razdoblje je ostvaren manjak prihoda i primitaka u iznosu od 351.334,75 EUR. Preneseni višak prihoda poslovanja iz prethodne godine iznosi 1.119.082,62 EUR. Izvršena je obvezna korekcija rezultata za kapitalni prijenos sredstva u visini od 3.110.036,65 EUR nakon koje višak prihoda poslovanja iznosi 923.873,44 EUR, a manjak prihoda od nefinancijske imovine iznosi 156.125,57 EUR.</w:t>
      </w:r>
    </w:p>
    <w:p>
      <w:r>
        <w:t xml:space="preserve"> Na kraju ovog izvještajnog razdoblja ostvaren višak prihoda i primitaka u iznosu od 767.747,87 EUR raspoloživ u sljedećem razdoblju.</w:t>
      </w:r>
    </w:p>
    <w:p>
      <w:r>
        <w:t xml:space="preserve">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36.630,00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3.100,00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8,5</w:t>
            </w:r>
          </w:p>
        </w:tc>
      </w:tr>
    </w:tbl>
    <w:p>
      <w:pPr>
        <w:spacing w:before="0" w:after="0"/>
      </w:pPr>
    </w:p>
    <w:p>
      <w:r>
        <w:t xml:space="preserve">Manji prihod u odnosu na isto razdoblje prethodne godine zbog manjeg sufinanciranja programa muzejske djelatnosti od strane Splitsko-dalmatinske županije, Grada Splita i Grada Zagreba.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Kapitalni prijenosi između proračunskih korisnika istog proračuna temeljem prijenosa EU sredstava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2.766.343,40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1.248.201,65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45,1</w:t>
            </w:r>
          </w:p>
        </w:tc>
      </w:tr>
    </w:tbl>
    <w:p>
      <w:pPr>
        <w:spacing w:before="0" w:after="0"/>
      </w:pPr>
    </w:p>
    <w:p>
      <w:r>
        <w:t xml:space="preserve">Manji prihod u odnosu na isto razdoblje prethodne godine zbog završetka realizacije projekta obnove Atelijera Meštrović u Zagrebu te zbog sporije dinamike u rješavanju zahtjeva za nadoknadu sredstava po projektu energetske obnove Galerije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prihodi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222.969,50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107.334,50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48,1</w:t>
            </w:r>
          </w:p>
        </w:tc>
      </w:tr>
    </w:tbl>
    <w:p>
      <w:pPr>
        <w:spacing w:before="0" w:after="0"/>
      </w:pPr>
    </w:p>
    <w:p>
      <w:r>
        <w:t xml:space="preserve">Manji prihod od ulaznica u odnosu na isto razdoblje prethodne godine zbog realizacije projekta energetske obnove Galerije Meštrović, koja je u 2025. g. bila samo djelomično otvorena za posjetitelje uz naplatu pola redovne cijene ulaznice.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pruženih usluga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100.294,02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43.601,48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43,5</w:t>
            </w:r>
          </w:p>
        </w:tc>
      </w:tr>
    </w:tbl>
    <w:p>
      <w:pPr>
        <w:spacing w:before="0" w:after="0"/>
      </w:pPr>
    </w:p>
    <w:p>
      <w:r>
        <w:t xml:space="preserve">Manji prihod od pruženih usluga davanja prostora na korištenje te stručnih vođenja u muzeju zbog energetske obnove Galerije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1.324.904,24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1.739.951,72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131,3</w:t>
            </w:r>
          </w:p>
        </w:tc>
      </w:tr>
    </w:tbl>
    <w:p>
      <w:pPr>
        <w:spacing w:before="0" w:after="0"/>
      </w:pPr>
    </w:p>
    <w:p>
      <w:r>
        <w:t xml:space="preserve">Veći prihod iz nadležnog proračuna zbog većih rashoda za redovno poslovanje, najvećim dijelom na stavci rashoda za zaposlene, te zbog većeg iznosa financiranja programske djelatnosti u odnosu na prethodnu godinu.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za nabavu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86.382,75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1.861.835,00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2155,3</w:t>
            </w:r>
          </w:p>
        </w:tc>
      </w:tr>
    </w:tbl>
    <w:p>
      <w:pPr>
        <w:spacing w:before="0" w:after="0"/>
      </w:pPr>
    </w:p>
    <w:p>
      <w:r>
        <w:t xml:space="preserve">Veći prihod iz nadležnog proračuna odnosi se na financranje izrade stalnog postava Atelijera Meštrović te na financiranje neprihvatljivih troškova vantroškovničkih radova energetske obnove Galerije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za redovan rad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589.026,29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762.930,47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129,5</w:t>
            </w:r>
          </w:p>
        </w:tc>
      </w:tr>
    </w:tbl>
    <w:p>
      <w:pPr>
        <w:spacing w:before="0" w:after="0"/>
      </w:pPr>
    </w:p>
    <w:p>
      <w:r>
        <w:t xml:space="preserve">Povećanje rashoda za plaće zbog promjene zakonskih propisa te novozapošljavanja pri otvaranju Atelijera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 putovanja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9.229,06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11.878,90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128,7</w:t>
            </w:r>
          </w:p>
        </w:tc>
      </w:tr>
    </w:tbl>
    <w:p>
      <w:pPr>
        <w:spacing w:before="0" w:after="0"/>
      </w:pPr>
    </w:p>
    <w:p>
      <w:r>
        <w:t xml:space="preserve">Povećanje rashoda za službena putovanja zbog veće potrebe putovanja na relaciji Split-Zagreb uslijed završetka obnove i otvaranja Atelijera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Uredski materijal i ostali materijalni rashodi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33.068,67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44.291,58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133,9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nabave arhivskog i zaštitnog materijala za potrebe selidbe i povratka muzejske građe uslijed  obnove muzejskih objekata.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Energija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17.693,51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23.489,03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132,8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povećanja potrošnje energije (plina) u Atelijeru Meštrović koji je u ovoj godini stavljen u funkciju nakon obnove od potresa.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dijelovi za tekuće i investicijsko održavanje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7.866,13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13.156,11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167,3</w:t>
            </w:r>
          </w:p>
        </w:tc>
      </w:tr>
    </w:tbl>
    <w:p>
      <w:pPr>
        <w:spacing w:before="0" w:after="0"/>
      </w:pPr>
    </w:p>
    <w:p>
      <w:r>
        <w:t xml:space="preserve">Povećanje rashoda zbog završnih radova na obnovi Atelijera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Službena, radna i zaštitna odjeća i obuća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1.672,07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2.886,98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172,7</w:t>
            </w:r>
          </w:p>
        </w:tc>
      </w:tr>
    </w:tbl>
    <w:p>
      <w:pPr>
        <w:spacing w:before="0" w:after="0"/>
      </w:pPr>
    </w:p>
    <w:p>
      <w:r>
        <w:t xml:space="preserve">Povećanje rashoda zbog veće nabave radne odjeće djelatnicima.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telefona, interneta, pošte i prijevoza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37.205,94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139.110,31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373,9</w:t>
            </w:r>
          </w:p>
        </w:tc>
      </w:tr>
    </w:tbl>
    <w:p>
      <w:pPr>
        <w:spacing w:before="0" w:after="0"/>
      </w:pPr>
    </w:p>
    <w:p>
      <w:r>
        <w:t xml:space="preserve">Povećanje zbog financiranja usluge prijevoza umjetnina i opreme pri povratku u Atelijer Meštrović po završetku obnove.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promidžbe i informiranja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6.290,54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26.231,56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417,0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većih izdataka za promidžbu i informiranje javnosti uslijed otvarenja Atelijera Meštrović nakon obnove.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Intelektualne i osobne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186.427,21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472.189,18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253,3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većih izdataka za usluge provedbe EU projekata, izrade novog stalnog postava u Atelijeru Meštrović u Zagrebu, radova na restauraciji skulptura iz postava te zbog angažmana vanjskih suradnika na radionicama i realizaciji izložbi.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Računalne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33.215,04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43.892,55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132,1</w:t>
            </w:r>
          </w:p>
        </w:tc>
      </w:tr>
    </w:tbl>
    <w:p>
      <w:pPr>
        <w:spacing w:before="0" w:after="0"/>
      </w:pPr>
    </w:p>
    <w:p>
      <w:r>
        <w:t xml:space="preserve">Povećnje rashoda zbog preseljenja informatičke opreme uslijed radova na obnovi te zbog primjene novih programskih rješenja uslijed zakonskih promjena (fiskalizacija 1.0 i 2.0).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64.603,89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95.332,37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147,6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većih izdataka za realizaciju izložbi i pedagoških radionica u 2025. (tisak publikacija, grafičke usluge i sl.), za tisak promidžbenog materijala te za usluge čuvanja objekata.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Premije osiguranja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3.933,49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14.860,39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377,8</w:t>
            </w:r>
          </w:p>
        </w:tc>
      </w:tr>
    </w:tbl>
    <w:p>
      <w:pPr>
        <w:spacing w:before="0" w:after="0"/>
      </w:pPr>
    </w:p>
    <w:p>
      <w:r>
        <w:t xml:space="preserve">Povećanje rashoda u odnosu na isto razdoblje prethodne godine zbog osiguranja u transportu skulptura, građe i opreme pri povratku u Atelijer Meštrović po završenoj obnovi.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Reprezentacija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3.446,50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7.438,52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215,8</w:t>
            </w:r>
          </w:p>
        </w:tc>
      </w:tr>
    </w:tbl>
    <w:p>
      <w:pPr>
        <w:spacing w:before="0" w:after="0"/>
      </w:pPr>
    </w:p>
    <w:p>
      <w:r>
        <w:t xml:space="preserve">Povećanje rashoda zbog troškova pri otvorenju Atelijera Meštrović u Zagrebu.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Instrumenti i uređaji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2.988,39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Nabavljeni su novi uređaji za mjerenje vlage te za odvlaživanje u novoobnovljenom Atelijjeru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Umjetnička djela (izložena u galerijama, muzejima i slično)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164.200,00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38,7</w:t>
            </w:r>
          </w:p>
        </w:tc>
      </w:tr>
    </w:tbl>
    <w:p>
      <w:pPr>
        <w:spacing w:before="0" w:after="0"/>
      </w:pPr>
    </w:p>
    <w:p>
      <w:r>
        <w:t xml:space="preserve">Zvršen je otkup umjetničkog djela “Plesačica” i u 2025. g. je plaćen drugi dio po ugovoru u iznosu od 63.000,00 EUR (u 2024. plaćen je prvi dio od 112.000,00 EUR).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Dodatna ulaganja na građevinskim objektima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1.696.420,06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3.187.244,12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187,9</w:t>
            </w:r>
          </w:p>
        </w:tc>
      </w:tr>
    </w:tbl>
    <w:p>
      <w:pPr>
        <w:spacing w:before="0" w:after="0"/>
      </w:pPr>
    </w:p>
    <w:p>
      <w:r>
        <w:t xml:space="preserve">Povećanje rashoda u odnosu na prethodnu godinu zbog završetka obnove Atelijera Meštrović, izrade novog stalnog postava u atelijeru Meštrović i realizacije projekta energetske obnove Galerije Meštrović u 2025. g.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163.623,89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135.696,49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82,9</w:t>
            </w:r>
          </w:p>
        </w:tc>
      </w:tr>
    </w:tbl>
    <w:p>
      <w:pPr>
        <w:spacing w:before="0" w:after="0"/>
      </w:pPr>
    </w:p>
    <w:p>
      <w:r>
        <w:t xml:space="preserve">Otpis i isknjiženje opreme koja nije za upotrebu, uništena je i nije vraćena u novoobnovljeni Atelijer Meštrović zbog novog projekta uređenja prostora i novog stalnog postava.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Komunikacijska oprema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33.100,95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7.946,23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24,0</w:t>
            </w:r>
          </w:p>
        </w:tc>
      </w:tr>
    </w:tbl>
    <w:p>
      <w:pPr>
        <w:spacing w:before="0" w:after="0"/>
      </w:pPr>
    </w:p>
    <w:p>
      <w:r>
        <w:t xml:space="preserve">Otpis i isknjiženje opreme koja nije za upotrebu, uništena je i nije vraćena u novoobnovljeni Atelijer Meštrović zbog novog projekta uređenja prostora i novog stalnog postava.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Oprema za održavanje i zaštitu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38.503,55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24.845,06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64,5</w:t>
            </w:r>
          </w:p>
        </w:tc>
      </w:tr>
    </w:tbl>
    <w:p>
      <w:pPr>
        <w:spacing w:before="0" w:after="0"/>
      </w:pPr>
    </w:p>
    <w:p>
      <w:r>
        <w:t xml:space="preserve">Otpis i isknjiženje opreme koja nije za upotrebu, uništena je i nije vraćena u novoobnovljeni Atelijer Meštrović zbog novog projekta uređenja prostora i novog stalnog postava.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Građevinski objekti u pripremi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4.566.804,32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7.754.048,44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169,8</w:t>
            </w:r>
          </w:p>
        </w:tc>
      </w:tr>
    </w:tbl>
    <w:p>
      <w:pPr>
        <w:spacing w:before="0" w:after="0"/>
      </w:pPr>
    </w:p>
    <w:p>
      <w:r>
        <w:t xml:space="preserve">Povećanje zbog izvedenih radova na projektima obnove Atelijera Meštrović i energetske obnove Galerije Meštrović.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predujmove, depozite, jamčevne pologe i tuđe prihode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5.472,78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Obveze za povrat u proračun naknada za bolovanje na teret HZZO; obveze za jamčevne pologe izvođaču radova; obveze za plaćeni predujam za uslugu korištenja prostora muzeja.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Višak prihoda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1.119.082,62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923.873,44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82,6</w:t>
            </w:r>
          </w:p>
        </w:tc>
      </w:tr>
    </w:tbl>
    <w:p>
      <w:pPr>
        <w:spacing w:before="0" w:after="0"/>
      </w:pPr>
    </w:p>
    <w:p>
      <w:r>
        <w:t xml:space="preserve">Višak prihoda poslovanja po izvršenoj obveznoj korekciji rezultata za kapitalni prijenos sredstava u visini od 3.110.036,65 EUR, zbog čega se razlikuje od viška prihoda poslovanja u obrascu PR-RAS.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od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156.125,57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Manjak prihoda od nefinancijske imovine po izvršenoj korekciji rezultata za kapitalni prijenos sredstava u visini od 3.110.036,65 EUR zbog čega se razlikuje od manjka prihoda od nefinancijske imovine u obrascu PR-RAS.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Izvanbilančni zapisi - aktiva (šifra 996)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1.701.844,85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2.230.296,59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131,1</w:t>
            </w:r>
          </w:p>
        </w:tc>
      </w:tr>
    </w:tbl>
    <w:p>
      <w:pPr>
        <w:spacing w:before="0" w:after="0"/>
      </w:pPr>
    </w:p>
    <w:p>
      <w:r>
        <w:t xml:space="preserve">Izvanbilančni zapisi odnose se na pohranu tj. umjetnička djela koja su u vlasništvu nasljednika Ivana Meštrovića, a čuvaju se u Muzejima Ivana Meštrovića (iznos od 1.683.293,66 EUR) te od potraživanja po ugovorima o dodjeljenim bespovratnim sredstvima iz EU fondova – cjelovita obnova Atelijera Meštrović (iznos od 42.102,11 EUR) i energetska obnova Galerije Meštrović (iznos od 504.930,82 EUR).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18.581,19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19.712,98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106,1</w:t>
            </w:r>
          </w:p>
        </w:tc>
      </w:tr>
    </w:tbl>
    <w:p>
      <w:pPr>
        <w:spacing w:before="0" w:after="0"/>
      </w:pPr>
    </w:p>
    <w:p>
      <w:r>
        <w:t xml:space="preserve">Iznos povećanja od 18.581,19 EUR odnosi se na darovana djela iz pohrane “Podbočena ženska figura” – 11.945,05 EUR i “Majka i dijete” – 6.636,14; iznos smanjenja od 19.712,98 odnosi se na ispravak vrijednosti proizvedene dugotrajne imovine.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82.236,50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Iznos smanjenja od 82.236,50 EUR odnosi se na otpis i isknjiženje opreme koja nije za upotrebu, uništena je i nije vraćena u novoobnovljeni Atelijer Meštrović zbog novog projekta uređenja prostora i novog stalnog postava.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 kraju ovog izvještajnog razdoblja nema dospjelih neplaćenih obveza.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35.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Izvor 581 -Mehanizam za oporavak i otpornost - bespovratna sredstva.</w:t>
      </w:r>
    </w:p>
    <w:p>
      <w:r>
        <w:t xml:space="preserve">Ukupno prihvatljiva sredstva po ugovoru za cjelovitu obnovu Atelijera Meštrović iznose 3.568.721,53 EUR, a po ugovoru za energetsku obnovu Galerije Meštrović 1.426.083,63 EUR.</w:t>
      </w:r>
    </w:p>
    <w:p>
      <w:r>
        <w:t xml:space="preserve">U 2025. g. ukupni prihod po odobrenim troškovima iznosi 1.248.201,65 EUR (šifra 639).</w:t>
      </w:r>
    </w:p>
    <w:p>
      <w:r>
        <w:t xml:space="preserve">Za projekt cjelovite obnove Atelijera Meštrović ostvaren je prihod od 362.347,67 EUR.</w:t>
      </w:r>
    </w:p>
    <w:p>
      <w:r>
        <w:t xml:space="preserve">Za projekt energetske obnove Galerije Meštrović ostvaren je prihod od 885.853,98 EUR.</w:t>
      </w:r>
    </w:p>
    <w:p>
      <w:r>
        <w:t xml:space="preserve"> </w:t>
      </w:r>
    </w:p>
    <w:p>
      <w:r>
        <w:t xml:space="preserve">U 2025. g. ukupni priznati rashodi poslovanja iznose 23.600,79 EUR (šifra 3) te ukupni priznati rashodi za nabavu nefinancijske imovine iznose 1.336.030,75 EUR (šifra 4)</w:t>
      </w:r>
    </w:p>
    <w:p>
      <w:r>
        <w:t xml:space="preserve"> </w:t>
      </w:r>
    </w:p>
    <w:p>
      <w:r>
        <w:t xml:space="preserve">Priznati rashodi za projekt obnove Atelijera Meštrović iznose 393.609,17 EUR.</w:t>
      </w:r>
    </w:p>
    <w:p>
      <w:r>
        <w:t xml:space="preserve">Priznati rashodi za projekt energetske obnove Galerije Meštrović iznose 966.022,37 EUR.</w:t>
      </w:r>
    </w:p>
    <w:p>
      <w:r>
        <w:t xml:space="preserve"> </w:t>
      </w:r>
    </w:p>
    <w:p>
      <w:r>
        <w:t xml:space="preserve">Ostatak potraživanja po ugovorima o dodijeljenim bespovratnim sredstvima iz EU fondova iznosi 547.032,93 EUR (šifra 99171) i to za projekt cjelovite obnove Atelijera Meštrović 42.102,11 EUR, a za projekt energetske obnove Galerije Meštrović 504.930,82 EUR.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ab43d5266e84dfb" /></Relationships>
</file>